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南银理财珠联璧合鑫逸稳两年65期封闭式公募人民币理财产品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南银理财珠联璧合鑫逸稳两年65期封闭式公募人民币理财产品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Z7003224000063（投资者可依据该编码在中国理财网www.chinawealth.com.cn查询理财产品相关信息）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2024年03月27日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464,975,011.00份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100.67%</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太平资产管理有限公司,泰康资产管理有限责任公司,重庆国际信托股份有限公司,太平洋资产管理有限责任公司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Y60065</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187,632,357.38</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1.0458</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1.0458</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6,800.00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Y61065</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297,259,969.99</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1.0471</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1.0471</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Y62065</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1,756,447.94</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1.0483</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1.0483</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鑫逸稳两年期封闭式产品，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截至报告期末，本产品Y60065份额净值为1.0458元，Y61065份额净值为1.0471元，Y62065份额净值为1.0483元。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XTDKX202406110002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重庆信托·淮安宏信集合资金信托计划（第1期）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231,029,802.00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47.47</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ZJQTT202210120021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太平洋卓越纯债2号产品</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200,338,907.54</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41.17</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ZJQTT202207120001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泰康资产稳利流动性资产管理产品</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50,943,676.05</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10.47</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ZJQTT202303170022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太平资产吉祥2号货币型资管产品</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6,436,575.77</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1.32</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淮安市宏信国有资产投资管理有限公司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重庆信托·淮安宏信集合资金信托计划（第1期）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275</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0101000000000952</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南京银行南京分行南银理财鑫逸稳两年65期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134,165.41</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